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E4" w:rsidRPr="001E41E4" w:rsidRDefault="001E41E4" w:rsidP="001E41E4">
      <w:pPr>
        <w:widowControl/>
        <w:shd w:val="clear" w:color="auto" w:fill="FFFFFF"/>
        <w:spacing w:line="336" w:lineRule="atLeast"/>
        <w:jc w:val="center"/>
        <w:rPr>
          <w:rFonts w:ascii="微软雅黑" w:eastAsia="微软雅黑" w:hAnsi="微软雅黑" w:cs="宋体"/>
          <w:color w:val="0066CC"/>
          <w:kern w:val="0"/>
          <w:sz w:val="29"/>
          <w:szCs w:val="29"/>
        </w:rPr>
      </w:pPr>
      <w:r w:rsidRPr="001E41E4">
        <w:rPr>
          <w:rFonts w:ascii="微软雅黑" w:eastAsia="微软雅黑" w:hAnsi="微软雅黑" w:cs="宋体" w:hint="eastAsia"/>
          <w:color w:val="0066CC"/>
          <w:kern w:val="0"/>
          <w:sz w:val="29"/>
          <w:szCs w:val="29"/>
        </w:rPr>
        <w:t>财政部 税务总局 海关总署</w:t>
      </w:r>
    </w:p>
    <w:p w:rsidR="001E41E4" w:rsidRPr="001E41E4" w:rsidRDefault="001E41E4" w:rsidP="001E41E4">
      <w:pPr>
        <w:widowControl/>
        <w:shd w:val="clear" w:color="auto" w:fill="FFFFFF"/>
        <w:spacing w:line="600" w:lineRule="atLeast"/>
        <w:jc w:val="center"/>
        <w:rPr>
          <w:rFonts w:ascii="微软雅黑" w:eastAsia="微软雅黑" w:hAnsi="微软雅黑" w:cs="宋体" w:hint="eastAsia"/>
          <w:color w:val="CC0000"/>
          <w:kern w:val="0"/>
          <w:sz w:val="34"/>
          <w:szCs w:val="34"/>
        </w:rPr>
      </w:pPr>
      <w:r w:rsidRPr="001E41E4">
        <w:rPr>
          <w:rFonts w:ascii="微软雅黑" w:eastAsia="微软雅黑" w:hAnsi="微软雅黑" w:cs="宋体" w:hint="eastAsia"/>
          <w:color w:val="CC0000"/>
          <w:kern w:val="0"/>
          <w:sz w:val="34"/>
          <w:szCs w:val="34"/>
        </w:rPr>
        <w:t>关于深化增值税改革有关政策的公告</w:t>
      </w:r>
    </w:p>
    <w:p w:rsidR="001E41E4" w:rsidRPr="001E41E4" w:rsidRDefault="001E41E4" w:rsidP="001E41E4">
      <w:pPr>
        <w:widowControl/>
        <w:shd w:val="clear" w:color="auto" w:fill="FFFFFF"/>
        <w:spacing w:line="432" w:lineRule="atLeast"/>
        <w:ind w:firstLineChars="100" w:firstLine="190"/>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为贯彻落实党中央、国务院决策部署，推进增值税实质性减税，现将2019年增值税改革有关事项公告如下：</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一、增值税一般纳税人（以下称纳税人）发生增值税应税销售行为或者进口货物，原适用16%税率的，税率调整为13%；原适用10%税率的，税率调整为9%。</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二、纳税人购进农产品，原适用10%扣除率的，扣除率调整为9%。纳税人购进用于生产或者委托加工13%税率货物的农产品，按照10%的扣除率计算进项税额。</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三、原适用16%税率且出口退税率为16%的出口货物劳务，出口退税率调整为13%；原适用10%税率且出口退税率为10%的出口货物、跨境应税行为，出口退税率调整为9%。</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2019年6月30日前（含2019年4月1日前），纳税人出口前款所涉货物劳务、发生前款所涉跨境应税行为，适用增值税免退税办法的，购进时已按调整前税率征收增值税的，执行调整前的出口退税率，购进时已按调整后税率征收增值税的，执行调整后的出口退税率；适用增值税免抵退税办法的，执行调整前的出口退税率，在计算免抵退税时，适用税率低于出口退税率的，适用税率与出口退税率之差视为</w:t>
      </w:r>
      <w:proofErr w:type="gramStart"/>
      <w:r w:rsidRPr="001E41E4">
        <w:rPr>
          <w:rFonts w:ascii="宋体" w:hAnsi="宋体" w:cs="宋体" w:hint="eastAsia"/>
          <w:color w:val="333333"/>
          <w:kern w:val="0"/>
          <w:sz w:val="19"/>
          <w:szCs w:val="19"/>
        </w:rPr>
        <w:t>零参与免</w:t>
      </w:r>
      <w:proofErr w:type="gramEnd"/>
      <w:r w:rsidRPr="001E41E4">
        <w:rPr>
          <w:rFonts w:ascii="宋体" w:hAnsi="宋体" w:cs="宋体" w:hint="eastAsia"/>
          <w:color w:val="333333"/>
          <w:kern w:val="0"/>
          <w:sz w:val="19"/>
          <w:szCs w:val="19"/>
        </w:rPr>
        <w:t>抵退税计算。</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出口退税率的执行时间及出口货物劳务、发生跨境应税行为的时间，按照以下规定执行：报关出口的货物劳务（保税区及经保税区出口除外），以海关出口报关单上注明的出口日期为准；非报关出口的货物劳务、跨境应税行为，以出口发票或普通发票的开具时间为准；保税区及经保税区出口的货物，以货物离境时海关出具的出境货物备案清单上注明的出口日期为准。</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四、适用13%税率的境外旅客购物离境退税物品，退税率为11%；适用9%税率的境外旅客购物离境退税物品，退税率为8%。</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2019年6月30日前，按调整前税率征收增值税的，执行调整前的退税率；按调整后税率征收增值税的，执行调整后的退税率。</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退税率的执行时间，以退税物品增值税普通发票的开具日期为准。</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五、自2019年4月1日起，《营业税改征增值税试点有关事项的规定》（财税〔2016〕36号印发）第一条第（四）项第1点、第二条第（一）项第1点停止执行，纳税人取得不动产或者不动产在建工程的进项税额不再分2年抵扣。此前按照上述规定尚未抵扣完毕的待抵扣进项税额，可自2019年4月税款所属期起从销项税额中抵扣。</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六、纳税人购进国内旅客运输服务，其进项税额允许从销项税额中抵扣。</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（一）纳税人未取得增值税专用发票的，</w:t>
      </w:r>
      <w:proofErr w:type="gramStart"/>
      <w:r w:rsidRPr="001E41E4">
        <w:rPr>
          <w:rFonts w:ascii="宋体" w:hAnsi="宋体" w:cs="宋体" w:hint="eastAsia"/>
          <w:color w:val="333333"/>
          <w:kern w:val="0"/>
          <w:sz w:val="19"/>
          <w:szCs w:val="19"/>
        </w:rPr>
        <w:t>暂按照</w:t>
      </w:r>
      <w:proofErr w:type="gramEnd"/>
      <w:r w:rsidRPr="001E41E4">
        <w:rPr>
          <w:rFonts w:ascii="宋体" w:hAnsi="宋体" w:cs="宋体" w:hint="eastAsia"/>
          <w:color w:val="333333"/>
          <w:kern w:val="0"/>
          <w:sz w:val="19"/>
          <w:szCs w:val="19"/>
        </w:rPr>
        <w:t>以下规定确定进项税额：</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w:t>
      </w:r>
      <w:r>
        <w:rPr>
          <w:rFonts w:ascii="宋体" w:hAnsi="宋体" w:cs="宋体" w:hint="eastAsia"/>
          <w:color w:val="333333"/>
          <w:kern w:val="0"/>
          <w:sz w:val="19"/>
          <w:szCs w:val="19"/>
        </w:rPr>
        <w:t xml:space="preserve"> </w:t>
      </w:r>
      <w:r w:rsidRPr="001E41E4">
        <w:rPr>
          <w:rFonts w:ascii="宋体" w:hAnsi="宋体" w:cs="宋体" w:hint="eastAsia"/>
          <w:color w:val="333333"/>
          <w:kern w:val="0"/>
          <w:sz w:val="19"/>
          <w:szCs w:val="19"/>
        </w:rPr>
        <w:t>1.取得增值税电子普通发票的，为发票上注明的税额；</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lastRenderedPageBreak/>
        <w:t xml:space="preserve">　　2.取得注明旅客身份信息的航空运输电子客票行程单的，为按照下列公式计算进项税额：</w:t>
      </w:r>
    </w:p>
    <w:p w:rsidR="001E41E4" w:rsidRPr="001E41E4" w:rsidRDefault="001E41E4" w:rsidP="001E41E4">
      <w:pPr>
        <w:widowControl/>
        <w:shd w:val="clear" w:color="auto" w:fill="FFFFFF"/>
        <w:spacing w:line="432" w:lineRule="atLeast"/>
        <w:ind w:firstLineChars="200" w:firstLine="380"/>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航空旅客运输进项税额=（票价+燃油附加费）÷（1+9%）×9%</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3.取得注明旅客身份信息的铁路车票的，为按照下列公式计算的进项税额：</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Pr>
          <w:rFonts w:ascii="宋体" w:hAnsi="宋体" w:cs="宋体" w:hint="eastAsia"/>
          <w:color w:val="333333"/>
          <w:kern w:val="0"/>
          <w:sz w:val="19"/>
          <w:szCs w:val="19"/>
        </w:rPr>
        <w:t xml:space="preserve">　  </w:t>
      </w:r>
      <w:r w:rsidRPr="001E41E4">
        <w:rPr>
          <w:rFonts w:ascii="宋体" w:hAnsi="宋体" w:cs="宋体" w:hint="eastAsia"/>
          <w:color w:val="333333"/>
          <w:kern w:val="0"/>
          <w:sz w:val="19"/>
          <w:szCs w:val="19"/>
        </w:rPr>
        <w:t>铁路旅客运输进项税额=票面金额÷（1+9%）×9%</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4.取得注明旅客身份信息的公路、水路等其他客票的，按照下列公式计算进项税额：</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Pr>
          <w:rFonts w:ascii="宋体" w:hAnsi="宋体" w:cs="宋体" w:hint="eastAsia"/>
          <w:color w:val="333333"/>
          <w:kern w:val="0"/>
          <w:sz w:val="19"/>
          <w:szCs w:val="19"/>
        </w:rPr>
        <w:t xml:space="preserve">　  </w:t>
      </w:r>
      <w:r w:rsidRPr="001E41E4">
        <w:rPr>
          <w:rFonts w:ascii="宋体" w:hAnsi="宋体" w:cs="宋体" w:hint="eastAsia"/>
          <w:color w:val="333333"/>
          <w:kern w:val="0"/>
          <w:sz w:val="19"/>
          <w:szCs w:val="19"/>
        </w:rPr>
        <w:t>公路、水路等其他旅客运输进项税额=票面金额÷（1+3%）×3%</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二）《营业税改征增值税试点实施办法》（财税〔2016〕36号印发）第二十七条第（六）项和《营业税改征增值税试点有关事项的规定》（财税〔2016〕36号印发）第二条第（一）项第5点中“购进的旅客运输服务、贷款服务、餐饮服务、居民日常服务和娱乐服务”修改为“购进的贷款服务、餐饮服务、居民日常服务和娱乐服务”。</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七、自2019年4月1日至2021年12月31日，允许生产、生活性服务业纳税人按照当期可抵扣进项税额加计10%，抵减应纳税额（以下称加计抵减政策）。</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一）本公告所称生产、生活性服务业纳税人，是指提供邮政服务、电信服务、现代服务、生活服务（以下称四项服务）取得的销售额占全部销售额的比重超过50%的纳税人。四项服务的具体范围按照《销售服务、无形资产、不动产注释》（财税〔2016〕36号印发）执行。</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2019年3月31日前设立的纳税人，自2018年4月至2019年3月期间的销售额(经营期不满12个月的，按照实际经营期的销售额)符合上述规定条件的，自2019年4月1日起适用加计抵减政策。</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2019年4月1日后设立的纳税人，自设立之日起3个月的销售额符合上述规定条件的，自登记为一般纳税人之日起适用加计抵减政策。</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纳税人确定适用加计抵减政策后，当年内不再调整，以后年度是否适用，根据上年度销售额计算确定。</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纳税人可计提但未计提的加计抵减额，可在确定适用加计抵减政策当期一并计提。</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（二）纳税人应按照当期可抵扣进项税额的10%计提当期加计抵减额。按照现行规定不得从销项税额中抵扣的进项税额，</w:t>
      </w:r>
      <w:proofErr w:type="gramStart"/>
      <w:r w:rsidRPr="001E41E4">
        <w:rPr>
          <w:rFonts w:ascii="宋体" w:hAnsi="宋体" w:cs="宋体" w:hint="eastAsia"/>
          <w:color w:val="333333"/>
          <w:kern w:val="0"/>
          <w:sz w:val="19"/>
          <w:szCs w:val="19"/>
        </w:rPr>
        <w:t>不</w:t>
      </w:r>
      <w:proofErr w:type="gramEnd"/>
      <w:r w:rsidRPr="001E41E4">
        <w:rPr>
          <w:rFonts w:ascii="宋体" w:hAnsi="宋体" w:cs="宋体" w:hint="eastAsia"/>
          <w:color w:val="333333"/>
          <w:kern w:val="0"/>
          <w:sz w:val="19"/>
          <w:szCs w:val="19"/>
        </w:rPr>
        <w:t>得计提加计抵减额；已计提加计抵减额的进项税额，按规定作进项税额转出的，应在进项税额转出当期，相应调减加计抵减额。计算公式如下：</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当期计提加计抵减额=当期可抵扣进项税额×10%</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当期可抵减加计抵减额=上期末加计抵减额余额+当期计提加计抵减额-当期调减加计抵减额</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（三）纳税人应按照现行规定计算一般计税方法下的应纳税额（以下称抵减前的应纳税额）后，区分以下情形加计抵减：</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1.抵减前的应纳税额等于零的，当期可抵减加计抵减额全部结转下期抵减；</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2.抵减前的应纳税额大于零，且大于当期可抵减加计抵减额的，当期可抵减加计抵减额全额从抵减前的应纳税额中抵减；</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lastRenderedPageBreak/>
        <w:t xml:space="preserve">　　3.抵减前的应纳税额大于零，且小于或等于当期可抵减加计抵减额的，以当期可抵减加计抵减额抵减应纳税额至零。未抵减完的当期可抵减加计抵减额，结转下期继续抵减。</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（四）纳税人出口货物劳务、发生跨境应税行为不适用加计抵减政策，其对应的进项税额</w:t>
      </w:r>
      <w:proofErr w:type="gramStart"/>
      <w:r w:rsidRPr="001E41E4">
        <w:rPr>
          <w:rFonts w:ascii="宋体" w:hAnsi="宋体" w:cs="宋体" w:hint="eastAsia"/>
          <w:color w:val="333333"/>
          <w:kern w:val="0"/>
          <w:sz w:val="19"/>
          <w:szCs w:val="19"/>
        </w:rPr>
        <w:t>不</w:t>
      </w:r>
      <w:proofErr w:type="gramEnd"/>
      <w:r w:rsidRPr="001E41E4">
        <w:rPr>
          <w:rFonts w:ascii="宋体" w:hAnsi="宋体" w:cs="宋体" w:hint="eastAsia"/>
          <w:color w:val="333333"/>
          <w:kern w:val="0"/>
          <w:sz w:val="19"/>
          <w:szCs w:val="19"/>
        </w:rPr>
        <w:t>得计提加计抵减额。</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纳税人兼营出口货物劳务、发生跨境应税行为且无法划分</w:t>
      </w:r>
      <w:proofErr w:type="gramStart"/>
      <w:r w:rsidRPr="001E41E4">
        <w:rPr>
          <w:rFonts w:ascii="宋体" w:hAnsi="宋体" w:cs="宋体" w:hint="eastAsia"/>
          <w:color w:val="333333"/>
          <w:kern w:val="0"/>
          <w:sz w:val="19"/>
          <w:szCs w:val="19"/>
        </w:rPr>
        <w:t>不</w:t>
      </w:r>
      <w:proofErr w:type="gramEnd"/>
      <w:r w:rsidRPr="001E41E4">
        <w:rPr>
          <w:rFonts w:ascii="宋体" w:hAnsi="宋体" w:cs="宋体" w:hint="eastAsia"/>
          <w:color w:val="333333"/>
          <w:kern w:val="0"/>
          <w:sz w:val="19"/>
          <w:szCs w:val="19"/>
        </w:rPr>
        <w:t>得计提加计抵减额的进项税额，按照以下公式计算：</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w:t>
      </w:r>
      <w:proofErr w:type="gramStart"/>
      <w:r w:rsidRPr="001E41E4">
        <w:rPr>
          <w:rFonts w:ascii="宋体" w:hAnsi="宋体" w:cs="宋体" w:hint="eastAsia"/>
          <w:color w:val="333333"/>
          <w:kern w:val="0"/>
          <w:sz w:val="19"/>
          <w:szCs w:val="19"/>
        </w:rPr>
        <w:t>不</w:t>
      </w:r>
      <w:proofErr w:type="gramEnd"/>
      <w:r w:rsidRPr="001E41E4">
        <w:rPr>
          <w:rFonts w:ascii="宋体" w:hAnsi="宋体" w:cs="宋体" w:hint="eastAsia"/>
          <w:color w:val="333333"/>
          <w:kern w:val="0"/>
          <w:sz w:val="19"/>
          <w:szCs w:val="19"/>
        </w:rPr>
        <w:t>得计提加计抵减额的进项税额＝当期无法划分的全部进项税额×当期出口货物劳务和发生跨境应税行为的销售额÷当期全部销售额</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（五）纳税人应单独核算加计抵减额的计提、抵减、调减、结余等变动情况。骗取适用加计抵减政策或</w:t>
      </w:r>
      <w:proofErr w:type="gramStart"/>
      <w:r w:rsidRPr="001E41E4">
        <w:rPr>
          <w:rFonts w:ascii="宋体" w:hAnsi="宋体" w:cs="宋体" w:hint="eastAsia"/>
          <w:color w:val="333333"/>
          <w:kern w:val="0"/>
          <w:sz w:val="19"/>
          <w:szCs w:val="19"/>
        </w:rPr>
        <w:t>虚增加计</w:t>
      </w:r>
      <w:proofErr w:type="gramEnd"/>
      <w:r w:rsidRPr="001E41E4">
        <w:rPr>
          <w:rFonts w:ascii="宋体" w:hAnsi="宋体" w:cs="宋体" w:hint="eastAsia"/>
          <w:color w:val="333333"/>
          <w:kern w:val="0"/>
          <w:sz w:val="19"/>
          <w:szCs w:val="19"/>
        </w:rPr>
        <w:t>抵减额的，按照《中华人民共和国税收征收管理法》等有关规定处理。</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（六）加计抵减政策执行到期后，纳税人不再计提加计抵减额，结余的加计抵减额停止抵减。</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八、自2019年4月1日起，试行增值税期末留抵税额退税制度。</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（一）同时符合以下条件的纳税人，可以向主管税务机关申请退还增量留抵税额：</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1.自2019年4月税款所属期起，连续六个月（按季纳税的，连续两个季度）增量留抵税额均大于零，且第六个月增量留抵税额不低于50万元；</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2.纳税信用等级为A级或者B级；</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3.申请退税前36个月未发生骗取留抵退税、出口退税或虚开增值税专用发票情形的；</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4.申请退税前36个月未因偷税被税务机关处罚两次及以上的；</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5.自2019年4月1日起未享受即征即退、先征后返（退）政策的。</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（二）本公告所称增量留抵税额，是指与2019年3月底相比新增加的期末留抵税额。</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（三）纳税人当期允许退还的增量留抵税额，按照以下公式计算：</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允许退还的增量留抵税额=增量留抵税额×进项构成比例×60%</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进项构成比例，为2019年4月至申请退税前一税款所属期内已抵扣的增值税专用发票（含税控机动车销售统一发票）、海关进口增值税专用缴款书、解缴税款完税凭证注明的增值税额占同期全部已抵扣进项税额的比重。</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（四）纳税人应在增值税纳税申报期内，向主管税务机关申请退还留抵税额。</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（五）纳税人出口货物劳务、发生跨境应税行为，适用免抵退税办法的，办理免抵退税后，仍符合本公告规定条件的，可以申请退还留抵税额；适用免退税办法的，相关进项税额不得用于退还留抵税额。</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（六）纳税人取得退还的留抵税额后，应相应调减当期留抵税额。按照本条规定再次满足退税条件的，可以继续向主管税务机关申请退还留抵税额，但本条第（一）项第1点规定的连续期间，不得重复计算。</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lastRenderedPageBreak/>
        <w:t xml:space="preserve">　　（七）以虚增进项、虚假申报或其他欺骗手段，骗取留抵退税款的，由税务机关追缴其骗取的退税款，并按照《中华人民共和国税收征收管理法》等有关规定处理。</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（八）退还的增量留抵税额中央、地方分担机制另行通知。</w:t>
      </w:r>
    </w:p>
    <w:p w:rsidR="001E41E4" w:rsidRPr="001E41E4" w:rsidRDefault="001E41E4" w:rsidP="001E41E4">
      <w:pPr>
        <w:widowControl/>
        <w:shd w:val="clear" w:color="auto" w:fill="FFFFFF"/>
        <w:spacing w:line="432" w:lineRule="atLeast"/>
        <w:jc w:val="left"/>
        <w:rPr>
          <w:rFonts w:ascii="宋体" w:hAnsi="宋体" w:cs="宋体" w:hint="eastAsia"/>
          <w:color w:val="333333"/>
          <w:kern w:val="0"/>
          <w:sz w:val="19"/>
          <w:szCs w:val="19"/>
        </w:rPr>
      </w:pPr>
      <w:r w:rsidRPr="001E41E4">
        <w:rPr>
          <w:rFonts w:ascii="宋体" w:hAnsi="宋体" w:cs="宋体" w:hint="eastAsia"/>
          <w:color w:val="333333"/>
          <w:kern w:val="0"/>
          <w:sz w:val="19"/>
          <w:szCs w:val="19"/>
        </w:rPr>
        <w:t xml:space="preserve">　　九、本公告自2019年4月1日起执行。</w:t>
      </w:r>
    </w:p>
    <w:p w:rsidR="006C2CA0" w:rsidRPr="001E41E4" w:rsidRDefault="006C2CA0">
      <w:pPr>
        <w:rPr>
          <w:rFonts w:hint="eastAsia"/>
        </w:rPr>
      </w:pPr>
    </w:p>
    <w:sectPr w:rsidR="006C2CA0" w:rsidRPr="001E41E4" w:rsidSect="006C2C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B52AC"/>
    <w:multiLevelType w:val="multilevel"/>
    <w:tmpl w:val="0E9A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41E4"/>
    <w:rsid w:val="001E41E4"/>
    <w:rsid w:val="006C2CA0"/>
    <w:rsid w:val="00735E75"/>
    <w:rsid w:val="00C277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41E4"/>
    <w:rPr>
      <w:strike w:val="0"/>
      <w:dstrike w:val="0"/>
      <w:color w:val="333333"/>
      <w:sz w:val="14"/>
      <w:szCs w:val="14"/>
      <w:u w:val="none"/>
      <w:effect w:val="none"/>
      <w:bdr w:val="none" w:sz="0" w:space="0" w:color="auto" w:frame="1"/>
    </w:rPr>
  </w:style>
  <w:style w:type="paragraph" w:styleId="a4">
    <w:name w:val="Normal (Web)"/>
    <w:basedOn w:val="a"/>
    <w:uiPriority w:val="99"/>
    <w:semiHidden/>
    <w:unhideWhenUsed/>
    <w:rsid w:val="001E41E4"/>
    <w:pPr>
      <w:widowControl/>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31336651">
      <w:bodyDiv w:val="1"/>
      <w:marLeft w:val="0"/>
      <w:marRight w:val="0"/>
      <w:marTop w:val="0"/>
      <w:marBottom w:val="0"/>
      <w:divBdr>
        <w:top w:val="none" w:sz="0" w:space="0" w:color="auto"/>
        <w:left w:val="none" w:sz="0" w:space="0" w:color="auto"/>
        <w:bottom w:val="none" w:sz="0" w:space="0" w:color="auto"/>
        <w:right w:val="none" w:sz="0" w:space="0" w:color="auto"/>
      </w:divBdr>
      <w:divsChild>
        <w:div w:id="328145574">
          <w:marLeft w:val="0"/>
          <w:marRight w:val="0"/>
          <w:marTop w:val="0"/>
          <w:marBottom w:val="0"/>
          <w:divBdr>
            <w:top w:val="none" w:sz="0" w:space="0" w:color="auto"/>
            <w:left w:val="none" w:sz="0" w:space="0" w:color="auto"/>
            <w:bottom w:val="none" w:sz="0" w:space="0" w:color="auto"/>
            <w:right w:val="none" w:sz="0" w:space="0" w:color="auto"/>
          </w:divBdr>
          <w:divsChild>
            <w:div w:id="16348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515</Words>
  <Characters>2940</Characters>
  <Application>Microsoft Office Word</Application>
  <DocSecurity>0</DocSecurity>
  <Lines>24</Lines>
  <Paragraphs>6</Paragraphs>
  <ScaleCrop>false</ScaleCrop>
  <Company>china</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2019-04-03T00:55:00Z</dcterms:created>
  <dcterms:modified xsi:type="dcterms:W3CDTF">2019-04-03T00:59:00Z</dcterms:modified>
</cp:coreProperties>
</file>